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Схема аналізу стейкхолдерів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Розширення забороняється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6.5"/>
        <w:gridCol w:w="2256.5"/>
        <w:gridCol w:w="2256.5"/>
        <w:gridCol w:w="2256.5"/>
        <w:tblGridChange w:id="0">
          <w:tblGrid>
            <w:gridCol w:w="2256.5"/>
            <w:gridCol w:w="2256.5"/>
            <w:gridCol w:w="2256.5"/>
            <w:gridCol w:w="2256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Стейкхолдери та їх основні характеристики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Інтереси стейкхолдерів і вплив проблеми на них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Потенціал і мотивація стейкхолдерів до запровадження змін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Можливі дії з боку команди проєкту для задоволення інтересів стейкхолдерів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Мешканці міста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Місцева влада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Донори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[заповніть з огляду на специфіку вашого проєкту]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19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карти стейкхолдерів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00000000002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5"/>
        <w:gridCol w:w="1504.3333333333335"/>
        <w:gridCol w:w="1504.3333333333335"/>
        <w:gridCol w:w="1504.3333333333335"/>
        <w:gridCol w:w="1504.3333333333335"/>
        <w:gridCol w:w="1504.3333333333335"/>
        <w:tblGridChange w:id="0">
          <w:tblGrid>
            <w:gridCol w:w="1504.3333333333335"/>
            <w:gridCol w:w="1504.3333333333335"/>
            <w:gridCol w:w="1504.3333333333335"/>
            <w:gridCol w:w="1504.3333333333335"/>
            <w:gridCol w:w="1504.3333333333335"/>
            <w:gridCol w:w="1504.333333333333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Рівень зацікавленості стейкхолдерів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Невідомий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Незначний інтерес / відсутність інтересу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Певний інтерес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Значний інтерес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Рівень впливу стейкхолдерів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Значний вплив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Певний вплив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Незначний вплив / відсутність впливу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Невідомо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</w:tbl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5">
    <w:pPr>
      <w:tabs>
        <w:tab w:val="center" w:leader="none" w:pos="4513"/>
        <w:tab w:val="right" w:leader="none" w:pos="9026"/>
      </w:tabs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7366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C4Zg9KPV4G9O435tsuZLE+a76w==">CgMxLjA4AHIhMS1yTjI2bTA2TXBNaGJxQXJYbGs4TGJNejd6ZEpjVV95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