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Шаблон для моніторингу грантових конкурсів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Розширення забороняється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95"/>
        <w:gridCol w:w="1710"/>
        <w:gridCol w:w="1395"/>
        <w:gridCol w:w="1875"/>
        <w:gridCol w:w="1635"/>
        <w:gridCol w:w="1350"/>
        <w:gridCol w:w="1275"/>
        <w:tblGridChange w:id="0">
          <w:tblGrid>
            <w:gridCol w:w="1695"/>
            <w:gridCol w:w="1710"/>
            <w:gridCol w:w="1395"/>
            <w:gridCol w:w="1875"/>
            <w:gridCol w:w="1635"/>
            <w:gridCol w:w="1350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Назва донора / конкурсу &amp; лінк  / контактна інфо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Тип донора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Існуючі стосунки з донором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Позиція донора / пріоритетів конкурсу стосовно тематики проєкту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Ключові акценти (географічний фокус, специфічні вимоги тощо)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Дедлайн і суми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Кроки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USAID, UNDP, US Embassy,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Державний фонд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Посольство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Міжнародна організація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Приватна фундація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тощо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Чи є досвід співпраці? Який?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Які стосунки з донором?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 тематика проєкту вкладається у пріоритети конкурсу / донора? Чи є інтерес з боку донора?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Чи фінансував донор проєкти подібної тематики?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На які області робить акцент донор? Які цільові групи у фокусі конкурсу? Чи потрібно залучати партнерів і створювати консорціум?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Яка кінцева дата подання пропозицій? 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Який діапазон сум можна отримати в рамках конкурсу / від донора?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Взяти участь у Q&amp;A зустрічі для заявників; Заповнити документи і подати заявку; </w:t>
            </w:r>
          </w:p>
          <w:p w:rsidR="00000000" w:rsidDel="00000000" w:rsidP="00000000" w:rsidRDefault="00000000" w:rsidRPr="00000000" w14:paraId="0000001A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тощо. 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line="276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0">
    <w:pPr>
      <w:tabs>
        <w:tab w:val="center" w:leader="none" w:pos="4513"/>
        <w:tab w:val="right" w:leader="none" w:pos="9026"/>
      </w:tabs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73660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2F8zh3bpQ0e7x/jH/g7wYx6CQ==">CgMxLjA4AHIhMXRZUVZGRzdleG1aR2FyTWJwLWNEd2ltS0FURF9qR2ZJ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